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C86CC" w14:textId="6D0095A5" w:rsidR="00CE1DD0" w:rsidRDefault="00393CF2" w:rsidP="00393CF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93CF2">
        <w:rPr>
          <w:rFonts w:ascii="Times New Roman" w:hAnsi="Times New Roman" w:cs="Times New Roman"/>
          <w:b/>
          <w:bCs/>
          <w:sz w:val="24"/>
          <w:szCs w:val="24"/>
          <w:lang w:val="uk-UA"/>
        </w:rPr>
        <w:t>Порядок взаємодії в межах відкритого банкінгу</w:t>
      </w:r>
    </w:p>
    <w:p w14:paraId="534938D5" w14:textId="3084B1C5" w:rsidR="00393CF2" w:rsidRDefault="00393CF2" w:rsidP="00393CF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93CF2">
        <w:rPr>
          <w:rFonts w:ascii="Times New Roman" w:hAnsi="Times New Roman" w:cs="Times New Roman"/>
          <w:sz w:val="24"/>
          <w:szCs w:val="24"/>
          <w:lang w:val="uk-UA"/>
        </w:rPr>
        <w:t xml:space="preserve">(витяг з Положення про </w:t>
      </w:r>
      <w:r>
        <w:rPr>
          <w:rFonts w:ascii="Times New Roman" w:hAnsi="Times New Roman" w:cs="Times New Roman"/>
          <w:sz w:val="24"/>
          <w:szCs w:val="24"/>
          <w:lang w:val="uk-UA"/>
        </w:rPr>
        <w:t>відкритий банкінг</w:t>
      </w:r>
      <w:r w:rsidRPr="00393CF2">
        <w:rPr>
          <w:rFonts w:ascii="Times New Roman" w:hAnsi="Times New Roman" w:cs="Times New Roman"/>
          <w:sz w:val="24"/>
          <w:szCs w:val="24"/>
          <w:lang w:val="uk-UA"/>
        </w:rPr>
        <w:t xml:space="preserve"> в АТ «КРЕДИТВЕСТ БАНК», затвердженого Правлінням  АТ «КРЕДИТВЕСТ БАНК», Протокол №</w:t>
      </w:r>
      <w:r>
        <w:rPr>
          <w:rFonts w:ascii="Times New Roman" w:hAnsi="Times New Roman" w:cs="Times New Roman"/>
          <w:sz w:val="24"/>
          <w:szCs w:val="24"/>
          <w:lang w:val="uk-UA"/>
        </w:rPr>
        <w:t>28</w:t>
      </w:r>
      <w:r w:rsidRPr="00393CF2">
        <w:rPr>
          <w:rFonts w:ascii="Times New Roman" w:hAnsi="Times New Roman" w:cs="Times New Roman"/>
          <w:sz w:val="24"/>
          <w:szCs w:val="24"/>
          <w:lang w:val="uk-UA"/>
        </w:rPr>
        <w:t xml:space="preserve"> від </w:t>
      </w:r>
      <w:r>
        <w:rPr>
          <w:rFonts w:ascii="Times New Roman" w:hAnsi="Times New Roman" w:cs="Times New Roman"/>
          <w:sz w:val="24"/>
          <w:szCs w:val="24"/>
          <w:lang w:val="uk-UA"/>
        </w:rPr>
        <w:t>07</w:t>
      </w:r>
      <w:r w:rsidRPr="00393CF2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05</w:t>
      </w:r>
      <w:r w:rsidRPr="00393CF2">
        <w:rPr>
          <w:rFonts w:ascii="Times New Roman" w:hAnsi="Times New Roman" w:cs="Times New Roman"/>
          <w:sz w:val="24"/>
          <w:szCs w:val="24"/>
          <w:lang w:val="uk-UA"/>
        </w:rPr>
        <w:t>.20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26 </w:t>
      </w:r>
      <w:r w:rsidRPr="00393CF2">
        <w:rPr>
          <w:rFonts w:ascii="Times New Roman" w:hAnsi="Times New Roman" w:cs="Times New Roman"/>
          <w:sz w:val="24"/>
          <w:szCs w:val="24"/>
          <w:lang w:val="uk-UA"/>
        </w:rPr>
        <w:t>р.)</w:t>
      </w:r>
    </w:p>
    <w:p w14:paraId="5E26E99A" w14:textId="77777777" w:rsidR="00393CF2" w:rsidRDefault="00393CF2" w:rsidP="00393CF2">
      <w:pPr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BD57D81" w14:textId="2DF4959A" w:rsidR="00393CF2" w:rsidRPr="00393CF2" w:rsidRDefault="00393CF2" w:rsidP="00393CF2">
      <w:pPr>
        <w:pStyle w:val="a8"/>
        <w:keepNext/>
        <w:numPr>
          <w:ilvl w:val="0"/>
          <w:numId w:val="2"/>
        </w:num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uk-UA" w:eastAsia="ru-RU"/>
          <w14:ligatures w14:val="none"/>
        </w:rPr>
      </w:pPr>
      <w:bookmarkStart w:id="0" w:name="_Toc227659766"/>
      <w:r w:rsidRPr="00393CF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uk-UA" w:eastAsia="ru-RU"/>
          <w14:ligatures w14:val="none"/>
        </w:rPr>
        <w:t>Порядок розгляду звернень у межах відкритого банкінгу</w:t>
      </w:r>
      <w:bookmarkEnd w:id="0"/>
    </w:p>
    <w:p w14:paraId="4153A235" w14:textId="77777777" w:rsidR="00393CF2" w:rsidRDefault="00393CF2" w:rsidP="00393CF2">
      <w:pPr>
        <w:pStyle w:val="a8"/>
        <w:numPr>
          <w:ilvl w:val="1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93CF2"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  <w:t>Банк приймає та розглядає звернення Клієнтів щодо отримання нефінансових платіжних послуг та щодо шахрайства (підозри шахрайства) або підозри щодо неправомірності проведення платіжної операції, ініційованої Клієнтом через стороннього НПП та/або надання відомостей з рахунків Клієнтів через стороннього НПП (далі - Звернення).</w:t>
      </w:r>
    </w:p>
    <w:p w14:paraId="514C6922" w14:textId="77777777" w:rsidR="00393CF2" w:rsidRDefault="00393CF2" w:rsidP="00393CF2">
      <w:pPr>
        <w:pStyle w:val="a8"/>
        <w:numPr>
          <w:ilvl w:val="1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93CF2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Банк приймає письмові, в </w:t>
      </w:r>
      <w:proofErr w:type="spellStart"/>
      <w:r w:rsidRPr="00393CF2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т.ч</w:t>
      </w:r>
      <w:proofErr w:type="spellEnd"/>
      <w:r w:rsidRPr="00393CF2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. електронні Звернення у відповідності до «Порядку розгляду звернень», розміщеного на офіційному сайті Банку.</w:t>
      </w:r>
    </w:p>
    <w:p w14:paraId="6BED691F" w14:textId="57040BFA" w:rsidR="00393CF2" w:rsidRDefault="00393CF2" w:rsidP="00393CF2">
      <w:pPr>
        <w:pStyle w:val="a8"/>
        <w:numPr>
          <w:ilvl w:val="1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93CF2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Банк під час розгляду Звернення має право звернутися до стороннього НПП з вимогою отримання інформації щодо наданої таким стороннім НПП нефінансової платіжної послуги Клієнту (обставин ініціювання платіжної операції; отримання згоди Клієнта; технічних параметрів операції).</w:t>
      </w:r>
    </w:p>
    <w:p w14:paraId="332A8064" w14:textId="30739A9B" w:rsidR="00393CF2" w:rsidRDefault="00393CF2" w:rsidP="00393CF2">
      <w:pPr>
        <w:pStyle w:val="a8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…</w:t>
      </w:r>
    </w:p>
    <w:p w14:paraId="799990B0" w14:textId="77777777" w:rsidR="00393CF2" w:rsidRDefault="00393CF2" w:rsidP="00393CF2">
      <w:pPr>
        <w:pStyle w:val="a8"/>
        <w:numPr>
          <w:ilvl w:val="1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93CF2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Взаємодія між Банком та стороннім НПП здійснюється з метою: встановлення обставин ініціювання платіжної операції; підтвердження коректності переданих платіжних інструкцій; врегулювання питання відшкодування збитків користувачу.</w:t>
      </w:r>
    </w:p>
    <w:p w14:paraId="37B461AE" w14:textId="77777777" w:rsidR="00393CF2" w:rsidRDefault="00393CF2" w:rsidP="00393CF2">
      <w:pPr>
        <w:pStyle w:val="a8"/>
        <w:numPr>
          <w:ilvl w:val="1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93CF2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Банк звертається до стороннього НПП у разі такої доцільності та запитує усю необхідну інформацію щодо ініціювання платіжної операції та/або ініціювання згоди/ запитів на отримання відомостей з рахунків шляхом направлення запиту на офіційну електронну адресу стороннього НПП. Сторонній НПП зобов’язаний надати відповідь протягом 3 (трьох) робочих днів, відповідь надається на офіційну електронну адресу Банку. Якщо відповідь не отримано у зазначений строк Банк може звернутися до НБУ із скаргою щодо роботи такого стороннього НПП.</w:t>
      </w:r>
    </w:p>
    <w:p w14:paraId="7710696B" w14:textId="10696E2D" w:rsidR="00393CF2" w:rsidRPr="00393CF2" w:rsidRDefault="00393CF2" w:rsidP="00393CF2">
      <w:pPr>
        <w:pStyle w:val="a8"/>
        <w:numPr>
          <w:ilvl w:val="1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93CF2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У разі отримання запиту від стороннього НПП Банк:</w:t>
      </w:r>
    </w:p>
    <w:p w14:paraId="4BA91E1D" w14:textId="77777777" w:rsidR="00393CF2" w:rsidRPr="00393CF2" w:rsidRDefault="00393CF2" w:rsidP="00393CF2">
      <w:pPr>
        <w:numPr>
          <w:ilvl w:val="0"/>
          <w:numId w:val="3"/>
        </w:numPr>
        <w:spacing w:after="0" w:line="276" w:lineRule="auto"/>
        <w:ind w:left="567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93CF2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розглядає таке звернення протягом 5 (п’яти) робочих днів з дати отримання такого звернення шляхом письмового запиту на офіційну електронну адресу </w:t>
      </w:r>
      <w:r w:rsidRPr="00393CF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shd w:val="clear" w:color="auto" w:fill="FFFFFF"/>
          <w:lang w:eastAsia="ru-RU"/>
          <w14:ligatures w14:val="none"/>
        </w:rPr>
        <w:t> </w:t>
      </w:r>
      <w:hyperlink r:id="rId5" w:history="1">
        <w:r w:rsidRPr="00393CF2">
          <w:rPr>
            <w:rFonts w:ascii="Times New Roman" w:eastAsia="Times New Roman" w:hAnsi="Times New Roman" w:cs="Times New Roman"/>
            <w:color w:val="0563C1"/>
            <w:kern w:val="0"/>
            <w:sz w:val="24"/>
            <w:szCs w:val="24"/>
            <w:u w:val="single"/>
            <w:shd w:val="clear" w:color="auto" w:fill="FFFFFF"/>
            <w:lang w:eastAsia="ru-RU"/>
            <w14:ligatures w14:val="none"/>
          </w:rPr>
          <w:t>info@creditwest.ua</w:t>
        </w:r>
      </w:hyperlink>
      <w:r w:rsidRPr="00393CF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shd w:val="clear" w:color="auto" w:fill="FFFFFF"/>
          <w:lang w:eastAsia="ru-RU"/>
          <w14:ligatures w14:val="none"/>
        </w:rPr>
        <w:t> </w:t>
      </w:r>
      <w:r w:rsidRPr="00393CF2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; </w:t>
      </w:r>
    </w:p>
    <w:p w14:paraId="31F51C46" w14:textId="77777777" w:rsidR="00393CF2" w:rsidRPr="00393CF2" w:rsidRDefault="00393CF2" w:rsidP="00393CF2">
      <w:pPr>
        <w:numPr>
          <w:ilvl w:val="0"/>
          <w:numId w:val="3"/>
        </w:numPr>
        <w:spacing w:after="0" w:line="276" w:lineRule="auto"/>
        <w:ind w:left="567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93CF2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надає відповідь у письмовій формі на офіційну електронну адресу стороннього НПП.</w:t>
      </w:r>
    </w:p>
    <w:p w14:paraId="234A65D3" w14:textId="41416B05" w:rsidR="00393CF2" w:rsidRPr="00393CF2" w:rsidRDefault="00393CF2" w:rsidP="00393CF2">
      <w:pPr>
        <w:pStyle w:val="a8"/>
        <w:numPr>
          <w:ilvl w:val="1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393CF2"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  <w:t xml:space="preserve">Технологічний оператор у межах відкритого банкінгу забезпечує надання технічної інформації щодо платіжної операції, надає журнали взаємодії; підтверджує факт передачі та/або отримання даних. </w:t>
      </w:r>
    </w:p>
    <w:p w14:paraId="19CFC62C" w14:textId="77777777" w:rsidR="00393CF2" w:rsidRPr="00393CF2" w:rsidRDefault="00393CF2" w:rsidP="00393CF2">
      <w:pPr>
        <w:pStyle w:val="a8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4DE04DAF" w14:textId="52EB6DE2" w:rsidR="00393CF2" w:rsidRPr="00393CF2" w:rsidRDefault="00393CF2" w:rsidP="00393CF2">
      <w:pPr>
        <w:pStyle w:val="a8"/>
        <w:numPr>
          <w:ilvl w:val="0"/>
          <w:numId w:val="4"/>
        </w:numPr>
        <w:spacing w:after="0" w:line="276" w:lineRule="auto"/>
        <w:rPr>
          <w:rStyle w:val="ad"/>
          <w:rFonts w:ascii="Times New Roman" w:hAnsi="Times New Roman" w:cs="Times New Roman"/>
          <w:b w:val="0"/>
          <w:bCs w:val="0"/>
          <w:sz w:val="24"/>
          <w:szCs w:val="24"/>
          <w:lang w:val="uk-UA"/>
        </w:rPr>
      </w:pPr>
      <w:r w:rsidRPr="00393CF2">
        <w:rPr>
          <w:rStyle w:val="ad"/>
          <w:rFonts w:ascii="Times New Roman" w:hAnsi="Times New Roman" w:cs="Times New Roman"/>
          <w:sz w:val="24"/>
          <w:szCs w:val="24"/>
        </w:rPr>
        <w:t xml:space="preserve">Порядок </w:t>
      </w:r>
      <w:proofErr w:type="spellStart"/>
      <w:r w:rsidRPr="00393CF2">
        <w:rPr>
          <w:rStyle w:val="ad"/>
          <w:rFonts w:ascii="Times New Roman" w:hAnsi="Times New Roman" w:cs="Times New Roman"/>
          <w:sz w:val="24"/>
          <w:szCs w:val="24"/>
        </w:rPr>
        <w:t>моніторингу</w:t>
      </w:r>
      <w:proofErr w:type="spellEnd"/>
      <w:r w:rsidRPr="00393CF2">
        <w:rPr>
          <w:rStyle w:val="ad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CF2">
        <w:rPr>
          <w:rStyle w:val="ad"/>
          <w:rFonts w:ascii="Times New Roman" w:hAnsi="Times New Roman" w:cs="Times New Roman"/>
          <w:sz w:val="24"/>
          <w:szCs w:val="24"/>
        </w:rPr>
        <w:t>платіжних</w:t>
      </w:r>
      <w:proofErr w:type="spellEnd"/>
      <w:r w:rsidRPr="00393CF2">
        <w:rPr>
          <w:rStyle w:val="ad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CF2">
        <w:rPr>
          <w:rStyle w:val="ad"/>
          <w:rFonts w:ascii="Times New Roman" w:hAnsi="Times New Roman" w:cs="Times New Roman"/>
          <w:sz w:val="24"/>
          <w:szCs w:val="24"/>
        </w:rPr>
        <w:t>операцій</w:t>
      </w:r>
      <w:proofErr w:type="spellEnd"/>
    </w:p>
    <w:p w14:paraId="5D5AE2EC" w14:textId="77777777" w:rsidR="00393CF2" w:rsidRPr="00393CF2" w:rsidRDefault="00393CF2" w:rsidP="00393CF2">
      <w:pPr>
        <w:pStyle w:val="a8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vanish/>
          <w:kern w:val="0"/>
          <w:sz w:val="24"/>
          <w:szCs w:val="24"/>
          <w:lang w:val="uk-UA" w:eastAsia="ru-RU"/>
          <w14:ligatures w14:val="none"/>
        </w:rPr>
      </w:pPr>
    </w:p>
    <w:p w14:paraId="2822D946" w14:textId="77777777" w:rsidR="00393CF2" w:rsidRPr="00393CF2" w:rsidRDefault="00393CF2" w:rsidP="00393CF2">
      <w:pPr>
        <w:pStyle w:val="a8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vanish/>
          <w:kern w:val="0"/>
          <w:sz w:val="24"/>
          <w:szCs w:val="24"/>
          <w:lang w:val="uk-UA" w:eastAsia="ru-RU"/>
          <w14:ligatures w14:val="none"/>
        </w:rPr>
      </w:pPr>
    </w:p>
    <w:p w14:paraId="0A55C68D" w14:textId="77777777" w:rsidR="00393CF2" w:rsidRPr="00393CF2" w:rsidRDefault="00393CF2" w:rsidP="00393CF2">
      <w:pPr>
        <w:pStyle w:val="a8"/>
        <w:numPr>
          <w:ilvl w:val="1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vanish/>
          <w:kern w:val="0"/>
          <w:sz w:val="24"/>
          <w:szCs w:val="24"/>
          <w:lang w:val="uk-UA" w:eastAsia="ru-RU"/>
          <w14:ligatures w14:val="none"/>
        </w:rPr>
      </w:pPr>
    </w:p>
    <w:p w14:paraId="28364A44" w14:textId="77777777" w:rsidR="00393CF2" w:rsidRPr="00393CF2" w:rsidRDefault="00393CF2" w:rsidP="00393CF2">
      <w:pPr>
        <w:pStyle w:val="a8"/>
        <w:numPr>
          <w:ilvl w:val="1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vanish/>
          <w:kern w:val="0"/>
          <w:sz w:val="24"/>
          <w:szCs w:val="24"/>
          <w:lang w:val="uk-UA" w:eastAsia="ru-RU"/>
          <w14:ligatures w14:val="none"/>
        </w:rPr>
      </w:pPr>
    </w:p>
    <w:p w14:paraId="3B556122" w14:textId="77777777" w:rsidR="00393CF2" w:rsidRPr="00393CF2" w:rsidRDefault="00393CF2" w:rsidP="00393CF2">
      <w:pPr>
        <w:pStyle w:val="a8"/>
        <w:numPr>
          <w:ilvl w:val="1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vanish/>
          <w:kern w:val="0"/>
          <w:sz w:val="24"/>
          <w:szCs w:val="24"/>
          <w:lang w:val="uk-UA" w:eastAsia="ru-RU"/>
          <w14:ligatures w14:val="none"/>
        </w:rPr>
      </w:pPr>
    </w:p>
    <w:p w14:paraId="18E8F3F1" w14:textId="77777777" w:rsidR="00393CF2" w:rsidRPr="00393CF2" w:rsidRDefault="00393CF2" w:rsidP="00393CF2">
      <w:pPr>
        <w:pStyle w:val="a8"/>
        <w:numPr>
          <w:ilvl w:val="1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vanish/>
          <w:kern w:val="0"/>
          <w:sz w:val="24"/>
          <w:szCs w:val="24"/>
          <w:lang w:val="uk-UA" w:eastAsia="ru-RU"/>
          <w14:ligatures w14:val="none"/>
        </w:rPr>
      </w:pPr>
    </w:p>
    <w:p w14:paraId="11881CF1" w14:textId="77777777" w:rsidR="00393CF2" w:rsidRPr="00393CF2" w:rsidRDefault="00393CF2" w:rsidP="00393CF2">
      <w:pPr>
        <w:pStyle w:val="a8"/>
        <w:numPr>
          <w:ilvl w:val="1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vanish/>
          <w:kern w:val="0"/>
          <w:sz w:val="24"/>
          <w:szCs w:val="24"/>
          <w:lang w:val="uk-UA" w:eastAsia="ru-RU"/>
          <w14:ligatures w14:val="none"/>
        </w:rPr>
      </w:pPr>
    </w:p>
    <w:p w14:paraId="200960FB" w14:textId="77777777" w:rsidR="00393CF2" w:rsidRDefault="00393CF2" w:rsidP="00393CF2">
      <w:pPr>
        <w:pStyle w:val="a8"/>
        <w:numPr>
          <w:ilvl w:val="1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93CF2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У разі звернення Клієнта або виявленні підозрілої, неакцептованої або шахрайської операції Банк забезпечує вжиття необхідних заходів, зокрема: призупинення або відхилення платіжної операції (за наявності технічної можливості); блокування доступу стороннього НПП до рахунку Клієнта; ініціювання додаткової перевірки або автентифікації; інформування Клієнта про підозрілу активність; ініціювання процедури розслідування відповідно до цього Положення.</w:t>
      </w:r>
    </w:p>
    <w:p w14:paraId="32262499" w14:textId="77777777" w:rsidR="00393CF2" w:rsidRPr="00393CF2" w:rsidRDefault="00393CF2" w:rsidP="00393CF2">
      <w:pPr>
        <w:pStyle w:val="a8"/>
        <w:numPr>
          <w:ilvl w:val="1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93CF2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Банк, забезпечує взаємодію зі сторонніми НПП у разі здійснення неакцептованих, помилкових або неналежних платіжних операцій, ініційованих Клієнтом через такого стороннього НПП.</w:t>
      </w:r>
    </w:p>
    <w:p w14:paraId="7F70FDAE" w14:textId="77777777" w:rsidR="00393CF2" w:rsidRPr="00393CF2" w:rsidRDefault="00393CF2" w:rsidP="00393CF2">
      <w:pPr>
        <w:pStyle w:val="a8"/>
        <w:numPr>
          <w:ilvl w:val="1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93CF2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lastRenderedPageBreak/>
        <w:t>До неналежних платіжних операцій належать: неакцептовані платіжні операції; помилкові операції; операції, здійснені внаслідок шахрайства.</w:t>
      </w:r>
    </w:p>
    <w:p w14:paraId="2F04D1D7" w14:textId="016E4C47" w:rsidR="00393CF2" w:rsidRPr="00393CF2" w:rsidRDefault="00393CF2" w:rsidP="00393CF2">
      <w:pPr>
        <w:pStyle w:val="a8"/>
        <w:numPr>
          <w:ilvl w:val="1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93CF2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У разі отримання інформації про неналежну операцію Банк: реєструє звернення Клієнта або відповідний інцидент; здійснює первинний аналіз операції; визначає учасників платіжної операції; ініціює взаємодію зі стороннім НПП (за наявності); проводить оцінку обставин та ризиків; приймає рішення щодо подальших дій.</w:t>
      </w:r>
    </w:p>
    <w:p w14:paraId="02D40978" w14:textId="65D1DBF6" w:rsidR="00393CF2" w:rsidRPr="00393CF2" w:rsidRDefault="00393CF2" w:rsidP="00393CF2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…</w:t>
      </w:r>
    </w:p>
    <w:p w14:paraId="7BEEF0E7" w14:textId="36D98B14" w:rsidR="00393CF2" w:rsidRPr="00393CF2" w:rsidRDefault="00393CF2" w:rsidP="00393CF2">
      <w:pPr>
        <w:pStyle w:val="a8"/>
        <w:numPr>
          <w:ilvl w:val="1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93CF2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У випадках шахрайства (підозри шахрайства), загрози безпеці виконання платіжної операції або неакцептованих, помилкових, неналежних платіжних операцій, ініційованої Клієнтом через стороннього НПП та/або надання відомостей з рахунків Клієнта через сторонній НПП Банк під час розгляду звернення звертається до стороннього НПП з вимогою отримання інформації щодо наданої таким стороннім НПП нефінансової платіжної послуги користувачу.</w:t>
      </w:r>
    </w:p>
    <w:p w14:paraId="6ED83E93" w14:textId="77777777" w:rsidR="00393CF2" w:rsidRDefault="00393CF2" w:rsidP="00393CF2">
      <w:pPr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0A7B255" w14:textId="320AFFDC" w:rsidR="00393CF2" w:rsidRPr="00393CF2" w:rsidRDefault="00393CF2" w:rsidP="00393CF2">
      <w:pPr>
        <w:pStyle w:val="a8"/>
        <w:keepNext/>
        <w:numPr>
          <w:ilvl w:val="0"/>
          <w:numId w:val="12"/>
        </w:num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uk-UA" w:eastAsia="ru-RU"/>
          <w14:ligatures w14:val="none"/>
        </w:rPr>
      </w:pPr>
      <w:r w:rsidRPr="00393CF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uk-UA" w:eastAsia="ru-RU"/>
          <w14:ligatures w14:val="none"/>
        </w:rPr>
        <w:t>Порядок відшкодування збитків користувачу</w:t>
      </w:r>
    </w:p>
    <w:p w14:paraId="7DCB1276" w14:textId="77777777" w:rsidR="00393CF2" w:rsidRPr="00393CF2" w:rsidRDefault="00393CF2" w:rsidP="00393CF2">
      <w:pPr>
        <w:pStyle w:val="a8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vanish/>
          <w:kern w:val="0"/>
          <w:sz w:val="24"/>
          <w:szCs w:val="24"/>
          <w:lang w:val="uk-UA" w:eastAsia="uk-UA"/>
          <w14:ligatures w14:val="none"/>
        </w:rPr>
      </w:pPr>
    </w:p>
    <w:p w14:paraId="211582DC" w14:textId="77777777" w:rsidR="00393CF2" w:rsidRPr="00393CF2" w:rsidRDefault="00393CF2" w:rsidP="00393CF2">
      <w:pPr>
        <w:pStyle w:val="a8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vanish/>
          <w:kern w:val="0"/>
          <w:sz w:val="24"/>
          <w:szCs w:val="24"/>
          <w:lang w:val="uk-UA" w:eastAsia="uk-UA"/>
          <w14:ligatures w14:val="none"/>
        </w:rPr>
      </w:pPr>
    </w:p>
    <w:p w14:paraId="1BA483B6" w14:textId="77777777" w:rsidR="00393CF2" w:rsidRPr="00393CF2" w:rsidRDefault="00393CF2" w:rsidP="00393CF2">
      <w:pPr>
        <w:pStyle w:val="a8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vanish/>
          <w:kern w:val="0"/>
          <w:sz w:val="24"/>
          <w:szCs w:val="24"/>
          <w:lang w:val="uk-UA" w:eastAsia="uk-UA"/>
          <w14:ligatures w14:val="none"/>
        </w:rPr>
      </w:pPr>
    </w:p>
    <w:p w14:paraId="1B962162" w14:textId="5149EA0B" w:rsidR="00393CF2" w:rsidRDefault="00393CF2" w:rsidP="00393CF2">
      <w:pPr>
        <w:pStyle w:val="a8"/>
        <w:numPr>
          <w:ilvl w:val="1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393CF2"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  <w:t>За результатами розслідування неналежної платіжної операції Банк визначає відповідального учасника (Банк, сторонній НПП або інший учасник платіжної інфраструктури).</w:t>
      </w:r>
    </w:p>
    <w:p w14:paraId="6AE67017" w14:textId="77777777" w:rsidR="00393CF2" w:rsidRDefault="00393CF2" w:rsidP="00393CF2">
      <w:pPr>
        <w:pStyle w:val="a8"/>
        <w:numPr>
          <w:ilvl w:val="1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393CF2"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  <w:t>Відшкодування збитків користувачу здійснюється відповідно до вимог законодавства України, у тому числі Закону України «Про платіжні послуги», та з урахуванням встановленої відповідальності сторін.</w:t>
      </w:r>
    </w:p>
    <w:p w14:paraId="3CBD1A94" w14:textId="0030CAF3" w:rsidR="00393CF2" w:rsidRPr="00393CF2" w:rsidRDefault="00393CF2" w:rsidP="00393CF2">
      <w:pPr>
        <w:pStyle w:val="a8"/>
        <w:numPr>
          <w:ilvl w:val="1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393CF2"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  <w:t>У разі встановлення відповідальності Банку:</w:t>
      </w:r>
    </w:p>
    <w:p w14:paraId="3DB1709D" w14:textId="77777777" w:rsidR="00393CF2" w:rsidRPr="00393CF2" w:rsidRDefault="00393CF2" w:rsidP="00393CF2">
      <w:pPr>
        <w:pStyle w:val="a8"/>
        <w:numPr>
          <w:ilvl w:val="1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393CF2"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  <w:t xml:space="preserve">Банк здійснює відшкодування у встановлені законодавством строки; </w:t>
      </w:r>
    </w:p>
    <w:p w14:paraId="5B3A1080" w14:textId="77777777" w:rsidR="00393CF2" w:rsidRPr="00393CF2" w:rsidRDefault="00393CF2" w:rsidP="00393CF2">
      <w:pPr>
        <w:pStyle w:val="a8"/>
        <w:numPr>
          <w:ilvl w:val="1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393CF2"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  <w:t>вживає заходів щодо недопущення аналогічних випадків у майбутньому.</w:t>
      </w:r>
    </w:p>
    <w:p w14:paraId="5D97D3B1" w14:textId="2D10B0DE" w:rsidR="00393CF2" w:rsidRPr="00393CF2" w:rsidRDefault="00393CF2" w:rsidP="00393CF2">
      <w:pPr>
        <w:pStyle w:val="a8"/>
        <w:numPr>
          <w:ilvl w:val="1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393CF2"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  <w14:ligatures w14:val="none"/>
        </w:rPr>
        <w:t>У разі встановлення відповідальності стороннього НПП невиконання або неналежного виконання платіжної операції з його вини, Банк ініціює питання щодо відшкодування таким стороннім НПП всіх понесених збитків та сум Клієнту.</w:t>
      </w:r>
    </w:p>
    <w:p w14:paraId="69D522DF" w14:textId="77777777" w:rsidR="00393CF2" w:rsidRPr="00393CF2" w:rsidRDefault="00393CF2" w:rsidP="00393CF2">
      <w:pPr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393CF2" w:rsidRPr="00393C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750EC"/>
    <w:multiLevelType w:val="multilevel"/>
    <w:tmpl w:val="D50A8C7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C590C94"/>
    <w:multiLevelType w:val="multilevel"/>
    <w:tmpl w:val="70FAA4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BCF3373"/>
    <w:multiLevelType w:val="multilevel"/>
    <w:tmpl w:val="0F66265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03E3DC2"/>
    <w:multiLevelType w:val="multilevel"/>
    <w:tmpl w:val="1BE68E7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9773039"/>
    <w:multiLevelType w:val="hybridMultilevel"/>
    <w:tmpl w:val="E1BEE940"/>
    <w:lvl w:ilvl="0" w:tplc="F134D99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</w:lvl>
    <w:lvl w:ilvl="3" w:tplc="0422000F" w:tentative="1">
      <w:start w:val="1"/>
      <w:numFmt w:val="decimal"/>
      <w:lvlText w:val="%4."/>
      <w:lvlJc w:val="left"/>
      <w:pPr>
        <w:ind w:left="3938" w:hanging="360"/>
      </w:p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</w:lvl>
    <w:lvl w:ilvl="6" w:tplc="0422000F" w:tentative="1">
      <w:start w:val="1"/>
      <w:numFmt w:val="decimal"/>
      <w:lvlText w:val="%7."/>
      <w:lvlJc w:val="left"/>
      <w:pPr>
        <w:ind w:left="6098" w:hanging="360"/>
      </w:p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4CFF06D0"/>
    <w:multiLevelType w:val="multilevel"/>
    <w:tmpl w:val="7A6CEF5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B2D0BED"/>
    <w:multiLevelType w:val="multilevel"/>
    <w:tmpl w:val="6B7CD44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1386A2C"/>
    <w:multiLevelType w:val="hybridMultilevel"/>
    <w:tmpl w:val="C73E0B20"/>
    <w:lvl w:ilvl="0" w:tplc="0422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2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5942B7B"/>
    <w:multiLevelType w:val="multilevel"/>
    <w:tmpl w:val="3B5A47E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638379B"/>
    <w:multiLevelType w:val="multilevel"/>
    <w:tmpl w:val="FB2687E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B364C77"/>
    <w:multiLevelType w:val="multilevel"/>
    <w:tmpl w:val="5E3E05AA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E1034B8"/>
    <w:multiLevelType w:val="multilevel"/>
    <w:tmpl w:val="D50A8C7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C563FAA"/>
    <w:multiLevelType w:val="multilevel"/>
    <w:tmpl w:val="836071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num w:numId="1" w16cid:durableId="404304606">
    <w:abstractNumId w:val="12"/>
  </w:num>
  <w:num w:numId="2" w16cid:durableId="811748724">
    <w:abstractNumId w:val="11"/>
  </w:num>
  <w:num w:numId="3" w16cid:durableId="851530058">
    <w:abstractNumId w:val="4"/>
  </w:num>
  <w:num w:numId="4" w16cid:durableId="1146581821">
    <w:abstractNumId w:val="5"/>
  </w:num>
  <w:num w:numId="5" w16cid:durableId="2044136866">
    <w:abstractNumId w:val="1"/>
  </w:num>
  <w:num w:numId="6" w16cid:durableId="1640185943">
    <w:abstractNumId w:val="2"/>
  </w:num>
  <w:num w:numId="7" w16cid:durableId="1193376926">
    <w:abstractNumId w:val="0"/>
  </w:num>
  <w:num w:numId="8" w16cid:durableId="1288583744">
    <w:abstractNumId w:val="10"/>
  </w:num>
  <w:num w:numId="9" w16cid:durableId="1286236519">
    <w:abstractNumId w:val="6"/>
  </w:num>
  <w:num w:numId="10" w16cid:durableId="2140997386">
    <w:abstractNumId w:val="7"/>
  </w:num>
  <w:num w:numId="11" w16cid:durableId="807165171">
    <w:abstractNumId w:val="3"/>
  </w:num>
  <w:num w:numId="12" w16cid:durableId="1442920884">
    <w:abstractNumId w:val="8"/>
  </w:num>
  <w:num w:numId="13" w16cid:durableId="15252492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CF2"/>
    <w:rsid w:val="001D0B80"/>
    <w:rsid w:val="00393CF2"/>
    <w:rsid w:val="00B86218"/>
    <w:rsid w:val="00CE1DD0"/>
    <w:rsid w:val="00D6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7B5B7"/>
  <w15:chartTrackingRefBased/>
  <w15:docId w15:val="{1AD7D02A-2714-4BF5-9124-A8051D0D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93C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93C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393CF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93C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393CF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393C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393C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393C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393C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93CF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393C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393CF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393CF2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393CF2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393C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393C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393C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393CF2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393C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393C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393C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393C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0"/>
    <w:next w:val="a0"/>
    <w:link w:val="22"/>
    <w:uiPriority w:val="29"/>
    <w:qFormat/>
    <w:rsid w:val="00393C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29"/>
    <w:rsid w:val="00393CF2"/>
    <w:rPr>
      <w:i/>
      <w:iCs/>
      <w:color w:val="404040" w:themeColor="text1" w:themeTint="BF"/>
    </w:rPr>
  </w:style>
  <w:style w:type="paragraph" w:styleId="a8">
    <w:name w:val="List Paragraph"/>
    <w:basedOn w:val="a0"/>
    <w:uiPriority w:val="34"/>
    <w:qFormat/>
    <w:rsid w:val="00393CF2"/>
    <w:pPr>
      <w:ind w:left="720"/>
      <w:contextualSpacing/>
    </w:pPr>
  </w:style>
  <w:style w:type="character" w:styleId="a9">
    <w:name w:val="Intense Emphasis"/>
    <w:basedOn w:val="a1"/>
    <w:uiPriority w:val="21"/>
    <w:qFormat/>
    <w:rsid w:val="00393CF2"/>
    <w:rPr>
      <w:i/>
      <w:iCs/>
      <w:color w:val="2E74B5" w:themeColor="accent1" w:themeShade="BF"/>
    </w:rPr>
  </w:style>
  <w:style w:type="paragraph" w:styleId="aa">
    <w:name w:val="Intense Quote"/>
    <w:basedOn w:val="a0"/>
    <w:next w:val="a0"/>
    <w:link w:val="ab"/>
    <w:uiPriority w:val="30"/>
    <w:qFormat/>
    <w:rsid w:val="00393CF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1"/>
    <w:link w:val="aa"/>
    <w:uiPriority w:val="30"/>
    <w:rsid w:val="00393CF2"/>
    <w:rPr>
      <w:i/>
      <w:iCs/>
      <w:color w:val="2E74B5" w:themeColor="accent1" w:themeShade="BF"/>
    </w:rPr>
  </w:style>
  <w:style w:type="character" w:styleId="ac">
    <w:name w:val="Intense Reference"/>
    <w:basedOn w:val="a1"/>
    <w:uiPriority w:val="32"/>
    <w:qFormat/>
    <w:rsid w:val="00393CF2"/>
    <w:rPr>
      <w:b/>
      <w:bCs/>
      <w:smallCaps/>
      <w:color w:val="2E74B5" w:themeColor="accent1" w:themeShade="BF"/>
      <w:spacing w:val="5"/>
    </w:rPr>
  </w:style>
  <w:style w:type="paragraph" w:customStyle="1" w:styleId="a">
    <w:name w:val="Буллети"/>
    <w:basedOn w:val="a8"/>
    <w:autoRedefine/>
    <w:qFormat/>
    <w:rsid w:val="00393CF2"/>
    <w:pPr>
      <w:numPr>
        <w:ilvl w:val="1"/>
        <w:numId w:val="1"/>
      </w:numPr>
      <w:shd w:val="clear" w:color="auto" w:fill="FFFFFF"/>
      <w:tabs>
        <w:tab w:val="num" w:pos="360"/>
      </w:tabs>
      <w:spacing w:after="0" w:line="240" w:lineRule="auto"/>
      <w:ind w:left="0" w:firstLine="272"/>
      <w:contextualSpacing w:val="0"/>
      <w:jc w:val="both"/>
    </w:pPr>
    <w:rPr>
      <w:rFonts w:ascii="Times New Roman" w:eastAsia="Times New Roman" w:hAnsi="Times New Roman" w:cs="Times New Roman"/>
      <w:kern w:val="0"/>
      <w:sz w:val="24"/>
      <w:szCs w:val="24"/>
      <w:lang w:val="uk-UA" w:eastAsia="uk-UA"/>
      <w14:ligatures w14:val="none"/>
    </w:rPr>
  </w:style>
  <w:style w:type="character" w:styleId="ad">
    <w:name w:val="Strong"/>
    <w:basedOn w:val="a1"/>
    <w:uiPriority w:val="22"/>
    <w:qFormat/>
    <w:rsid w:val="00393CF2"/>
    <w:rPr>
      <w:b/>
      <w:bCs/>
    </w:rPr>
  </w:style>
  <w:style w:type="paragraph" w:styleId="ae">
    <w:name w:val="Normal (Web)"/>
    <w:aliases w:val="Знак Знак Знак"/>
    <w:basedOn w:val="a0"/>
    <w:uiPriority w:val="34"/>
    <w:qFormat/>
    <w:rsid w:val="00393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creditwest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 Yaroshenko</dc:creator>
  <cp:keywords/>
  <dc:description/>
  <cp:lastModifiedBy>Serhii Yaroshenko</cp:lastModifiedBy>
  <cp:revision>1</cp:revision>
  <dcterms:created xsi:type="dcterms:W3CDTF">2026-08-05T14:13:00Z</dcterms:created>
  <dcterms:modified xsi:type="dcterms:W3CDTF">2026-08-05T14:24:00Z</dcterms:modified>
</cp:coreProperties>
</file>